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5.0" w:type="dxa"/>
        <w:jc w:val="left"/>
        <w:tblInd w:w="0.0" w:type="dxa"/>
        <w:tblLayout w:type="fixed"/>
        <w:tblLook w:val="0400"/>
      </w:tblPr>
      <w:tblGrid>
        <w:gridCol w:w="9335"/>
        <w:tblGridChange w:id="0">
          <w:tblGrid>
            <w:gridCol w:w="9335"/>
          </w:tblGrid>
        </w:tblGridChange>
      </w:tblGrid>
      <w:tr>
        <w:trPr>
          <w:trHeight w:val="1376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2">
            <w:pPr>
              <w:ind w:firstLine="708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9"/>
                <w:szCs w:val="19"/>
                <w:rtl w:val="0"/>
              </w:rPr>
              <w:t xml:space="preserve">Вопросы для самостоятельной подготовки к экзамену (зачёту с оценкой)</w:t>
            </w:r>
          </w:p>
          <w:p w:rsidR="00000000" w:rsidDel="00000000" w:rsidP="00000000" w:rsidRDefault="00000000" w:rsidRPr="00000000" w14:paraId="00000003">
            <w:pPr>
              <w:ind w:firstLine="70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Какая энергия протонов в эксперименте с неподвижной мишенью требуется для достижения энергии Большого адронного коллайдера в системе центра масс (14 ТэВ)?</w:t>
            </w:r>
          </w:p>
          <w:p w:rsidR="00000000" w:rsidDel="00000000" w:rsidP="00000000" w:rsidRDefault="00000000" w:rsidRPr="00000000" w14:paraId="00000004">
            <w:pPr>
              <w:ind w:left="360" w:firstLine="34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m:t>π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мезон имеет доминирующий канал распада в два фотона.</w:t>
            </w:r>
          </w:p>
          <w:p w:rsidR="00000000" w:rsidDel="00000000" w:rsidP="00000000" w:rsidRDefault="00000000" w:rsidRPr="00000000" w14:paraId="00000005">
            <w:pPr>
              <w:ind w:firstLine="70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а) Напишите выражение для энергии каждого фотона в системе покоя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m:t>π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в терминах массы пиона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m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>π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ind w:firstLine="70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б) Один из фотонов был рожден под полярным углом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в сферических координатах по отношению к положительному направлению оси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 системе покоя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m:t>π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. Под каким полярным углом в сферической системе координат был рожден второй фотон?</w:t>
            </w:r>
          </w:p>
          <w:p w:rsidR="00000000" w:rsidDel="00000000" w:rsidP="00000000" w:rsidRDefault="00000000" w:rsidRPr="00000000" w14:paraId="00000007">
            <w:pPr>
              <w:ind w:firstLine="70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Преобразование Лоренца для энергии частицы в системе отсчета, движущейся со скоростью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вдоль оси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задается следующим выражением: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mbria Math" w:cs="Cambria Math" w:eastAsia="Cambria Math" w:hAnsi="Cambria Math"/>
                <w:sz w:val="16"/>
                <w:szCs w:val="16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E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'</m:t>
                  </m:r>
                </m:sup>
              </m:sSup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=γ(E-v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p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z</m:t>
                  </m:r>
                </m:sub>
              </m:sSub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где </w:t>
            </w:r>
            <m:oMath>
              <m:r>
                <m:t>γ</m:t>
              </m:r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(1-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  <m:t xml:space="preserve">v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/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  <m:t xml:space="preserve">c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-1/2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  <w:t xml:space="preserve">а)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m:t>π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движется со скоростью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вдоль оси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в лабораторной системе отсчета (ЛСО). Определите энергии фотонов, описанных в задаче (1, б) в ЛСО. Вычислите сумму их энергий. Прокомментируйте физический смысл полученного результата.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  <w:t xml:space="preserve">б) Определите максимальное и минимальное возможные значения энергии каждого из фотонов в ЛСО. Каким углам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 системе покоя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m:t>π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соответствуют данные значения?</w:t>
            </w:r>
          </w:p>
          <w:p w:rsidR="00000000" w:rsidDel="00000000" w:rsidP="00000000" w:rsidRDefault="00000000" w:rsidRPr="00000000" w14:paraId="0000000C">
            <w:pPr>
              <w:ind w:firstLine="70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Изобразите диаграммы Фейнмана для следующих распадов: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m:t>Δ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+</m:t>
                  </m:r>
                </m:sup>
              </m:sSup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uud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>→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n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udd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  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>π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+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(u</m:t>
              </m:r>
              <m:bar>
                <m:barPr>
                  <m:pos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bar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d</m:t>
                  </m:r>
                </m:e>
              </m:ba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m:t>Σ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p>
              </m:sSup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uds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>→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>Λ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uds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 xml:space="preserve">  γ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5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m:t>π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+</m:t>
                  </m:r>
                </m:sup>
              </m:sSup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u</m:t>
                  </m:r>
                  <m:bar>
                    <m:barPr>
                      <m:pos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szCs w:val="16"/>
                          <w:u w:val="none"/>
                          <w:shd w:fill="auto" w:val="clear"/>
                          <w:vertAlign w:val="baseline"/>
                        </w:rPr>
                      </m:ctrlPr>
                    </m:bar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szCs w:val="16"/>
                          <w:u w:val="none"/>
                          <w:shd w:fill="auto" w:val="clear"/>
                          <w:vertAlign w:val="baseline"/>
                        </w:rPr>
                        <m:t xml:space="preserve">d</m:t>
                      </m:r>
                    </m:e>
                  </m:ba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</w:rPr>
                <m:t>→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>μ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 xml:space="preserve">+</m:t>
                  </m:r>
                </m:sup>
              </m:sSup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>ν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  <m:t>μ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Расположите их в порядке увеличения времени жизни.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12">
            <w:pPr>
              <w:ind w:firstLine="70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Для распада </w:t>
            </w:r>
            <m:oMath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a→1+2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покажите, что масса частицы </w:t>
            </w:r>
            <m:oMath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a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может быть выражена как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mbria Math" w:cs="Cambria Math" w:eastAsia="Cambria Math" w:hAnsi="Cambria Math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m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a</m:t>
                  </m:r>
                </m:sub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2</m:t>
                  </m:r>
                </m:sup>
              </m:sSubSup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=</m:t>
              </m:r>
              <m:sSubSup>
                <m:sSub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m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</m:t>
                  </m:r>
                </m:sub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2</m:t>
                  </m:r>
                </m:sup>
              </m:sSubSup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+</m:t>
              </m:r>
              <m:sSubSup>
                <m:sSub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m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2</m:t>
                  </m:r>
                </m:sub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2</m:t>
                  </m:r>
                </m:sup>
              </m:sSubSup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+2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E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</m:t>
                  </m:r>
                </m:sub>
              </m:sSub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E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2</m:t>
                  </m:r>
                </m:sub>
              </m:sSub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1-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  <m:t xml:space="preserve">1</m:t>
                      </m:r>
                    </m:sub>
                  </m:sSub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sz w:val="16"/>
                          <w:szCs w:val="16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cos</m:t>
                  </m:r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>θ</m:t>
                  </m:r>
                </m:e>
              </m:d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,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t>β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t>β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2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– скорости дочерних частиц (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t>β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i</m:t>
                  </m:r>
                </m:sub>
              </m:sSub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=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v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i</m:t>
                  </m:r>
                </m:sub>
              </m:sSub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/c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), а </w:t>
            </w:r>
            <m:oMath>
              <m:r>
                <m:t>θ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– угол между ними.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Максимум сечения процесса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m:t>π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-</m:t>
                  </m:r>
                </m:sup>
              </m:sSup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p</m:t>
              </m:r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>→</m:t>
              </m:r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X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который достигается при импульсе пиона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p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>π</m:t>
                  </m:r>
                </m:sub>
              </m:sSub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=300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МэВ, соответствует резонансному рождению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m:t>Δ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-бариона (т. е.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s</m:t>
                  </m:r>
                </m:e>
              </m:rad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=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m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>Δ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). Определите массу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m:t>Δ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Рассчитайте отношение удельных ионизационных потерь для протонов с энергией 10 МэВ в углероде и свинце.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Определите зарядовую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и пространственную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четности </w:t>
            </w:r>
            <m:oMath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J/</m:t>
              </m:r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>Ψ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1S</m:t>
                  </m:r>
                </m:e>
              </m:d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t>η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c</m:t>
                  </m:r>
                </m:sub>
              </m:sSub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(1S)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мезонов.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Какие из перечисленных ниже четырех способов распада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K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+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-мезона возможны, а какие запрещены? Для разрешенных изобразите диаграммы, для запрещенных – укажите причину запрета.</w:t>
            </w:r>
          </w:p>
          <w:tbl>
            <w:tblPr>
              <w:tblStyle w:val="Table2"/>
              <w:tblW w:w="8222.0" w:type="dxa"/>
              <w:jc w:val="left"/>
              <w:tblInd w:w="704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968"/>
              <w:gridCol w:w="4254"/>
              <w:tblGridChange w:id="0">
                <w:tblGrid>
                  <w:gridCol w:w="3968"/>
                  <w:gridCol w:w="4254"/>
                </w:tblGrid>
              </w:tblGridChange>
            </w:tblGrid>
            <w:tr>
              <w:trPr>
                <w:trHeight w:val="454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jc w:val="both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1) </w:t>
                  </w:r>
                  <m:oMath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K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+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>→</m:t>
                    </m:r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0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 xml:space="preserve">+</m:t>
                    </m:r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+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 xml:space="preserve">+</m:t>
                    </m:r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-</m:t>
                        </m:r>
                      </m:sup>
                    </m:sSup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jc w:val="both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3) </w:t>
                  </w:r>
                  <m:oMath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K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+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>→</m:t>
                    </m:r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0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 xml:space="preserve">+</m:t>
                    </m:r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+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 xml:space="preserve">+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bar>
                          <m:barPr>
                            <m:pos/>
                            <m:ctrlPr>
                              <w:rPr>
                                <w:rFonts w:ascii="Cambria Math" w:cs="Cambria Math" w:eastAsia="Cambria Math" w:hAnsi="Cambria Math"/>
                                <w:sz w:val="16"/>
                                <w:szCs w:val="16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cs="Cambria Math" w:eastAsia="Cambria Math" w:hAnsi="Cambria Math"/>
                                <w:sz w:val="16"/>
                                <w:szCs w:val="16"/>
                              </w:rPr>
                              <m:t>υ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e</m:t>
                        </m:r>
                      </m:sub>
                    </m:sSub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B">
                  <w:pPr>
                    <w:jc w:val="both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2) </w:t>
                  </w:r>
                  <m:oMath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K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+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>→</m:t>
                    </m:r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+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 xml:space="preserve">+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e</m:t>
                        </m:r>
                      </m:sub>
                    </m:sSub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jc w:val="both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4) </w:t>
                  </w:r>
                  <m:oMath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K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+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>→</m:t>
                    </m:r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0</m:t>
                        </m:r>
                      </m:sup>
                    </m:sSup>
                    <m:r>
                      <w:rPr>
                        <w:rFonts w:ascii="Cambria Math" w:cs="Cambria Math" w:eastAsia="Cambria Math" w:hAnsi="Cambria Math"/>
                        <w:sz w:val="16"/>
                        <w:szCs w:val="16"/>
                      </w:rPr>
                      <m:t xml:space="preserve">+</m:t>
                    </m:r>
                    <m:sSup>
                      <m:sSupPr>
                        <m:ctrlP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cs="Cambria Math" w:eastAsia="Cambria Math" w:hAnsi="Cambria Math"/>
                            <w:sz w:val="16"/>
                            <w:szCs w:val="16"/>
                          </w:rPr>
                          <m:t xml:space="preserve">+</m:t>
                        </m:r>
                      </m:sup>
                    </m:sSup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ind w:firstLine="708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firstLine="708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Наилучшие экспериментальные значения пределов периода полураспада протона составляют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m:t>τ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p</m:t>
                  </m:r>
                </m:sub>
              </m:sSub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&gt;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10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31</m:t>
                  </m:r>
                </m:sup>
              </m:sSup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-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10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33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лет в зависимости от модели. Для оценки периода полураспада протона можно также использовать требование, что полная радиационная доза, полученная человеком за год, не превышает ежегодную дозу от мюонов космического излучения, 30 мрад (</w:t>
            </w:r>
            <m:oMath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1 рад=6.2∙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10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10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МэВ/кг). Определите средний период полураспада протона, который привел бы к получению такой дозы, предполагая, что при распаде полная масса протона (0.94 ГэВ) преобразовалась в энергию ионизирующего излучения. Для оценки используйте предположение, что число протонов и нейтронов в человеческом теле одинаково и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m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p</m:t>
                  </m:r>
                </m:sub>
              </m:sSub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=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m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n</m:t>
                  </m:r>
                </m:sub>
              </m:sSub>
              <m:r>
                <w:rPr>
                  <w:rFonts w:ascii="Cambria Math" w:cs="Cambria Math" w:eastAsia="Cambria Math" w:hAnsi="Cambria Math"/>
                  <w:sz w:val="16"/>
                  <w:szCs w:val="16"/>
                </w:rPr>
                <m:t xml:space="preserve">=1.7∙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10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16"/>
                      <w:szCs w:val="16"/>
                    </w:rPr>
                    <m:t xml:space="preserve">-27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кг.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 Math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